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tabs>
          <w:tab w:val="left" w:pos="6663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jc w:val="center"/>
        <w:spacing w:line="240" w:lineRule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Положение о проведении Акции </w:t>
      </w:r>
      <w:bookmarkStart w:id="0" w:name="_Hlk144885430"/>
      <w:r>
        <w:rPr>
          <w:rFonts w:ascii="Liberation Serif" w:hAnsi="Liberation Serif" w:eastAsia="Calibri" w:cs="Liberation Serif"/>
          <w:b/>
          <w:sz w:val="28"/>
          <w:szCs w:val="28"/>
        </w:rPr>
        <w:t xml:space="preserve">«</w:t>
      </w:r>
      <w:bookmarkStart w:id="1" w:name="_Hlk168407161"/>
      <w:r>
        <w:rPr>
          <w:rFonts w:ascii="Liberation Serif" w:hAnsi="Liberation Serif" w:eastAsia="Liberation Serif" w:cs="Liberation Serif"/>
          <w:b/>
          <w:color w:val="000000" w:themeColor="text1"/>
          <w:sz w:val="28"/>
          <w:szCs w:val="28"/>
          <w:highlight w:val="white"/>
        </w:rPr>
        <w:t xml:space="preserve">Прояви заботу</w:t>
      </w:r>
      <w:r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  <w:t xml:space="preserve">»</w:t>
      </w:r>
      <w:bookmarkEnd w:id="0"/>
      <w:r/>
      <w:bookmarkEnd w:id="1"/>
      <w:r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     Общие положения</w:t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3402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Региональная стимулирующая Акция (далее – Акция) проводит</w:t>
      </w:r>
      <w:r>
        <w:rPr>
          <w:rFonts w:ascii="Liberation Serif" w:hAnsi="Liberation Serif" w:cs="Liberation Serif"/>
          <w:sz w:val="28"/>
          <w:szCs w:val="28"/>
        </w:rPr>
        <w:t xml:space="preserve">ся ООО «ЕИРЦ РБ» (далее – «Организатор») на территории Республики Башкортостан. Акция не является лотереей и не подпадает под действие Федерального закона от 11.11.2003 № 138-ФЗ «О лотереях», так как призовой фонд формируется за счет средств Организатора.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3402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Термины и определения.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846"/>
        <w:numPr>
          <w:ilvl w:val="1"/>
          <w:numId w:val="1"/>
        </w:numPr>
        <w:ind w:left="0" w:firstLine="709"/>
        <w:jc w:val="both"/>
        <w:tabs>
          <w:tab w:val="left" w:pos="993" w:leader="none"/>
          <w:tab w:val="left" w:pos="1276" w:leader="none"/>
          <w:tab w:val="left" w:pos="1418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Для целей настоящего Положения о проведении Акции 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«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  <w:highlight w:val="white"/>
        </w:rPr>
        <w:t xml:space="preserve">Прояви заботу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в ООО «ЕИРЦ РБ» применяются следующие термины и определения: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ind w:left="709"/>
        <w:jc w:val="both"/>
        <w:tabs>
          <w:tab w:val="left" w:pos="993" w:leader="none"/>
          <w:tab w:val="left" w:pos="1276" w:leader="none"/>
          <w:tab w:val="left" w:pos="1418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tbl>
      <w:tblPr>
        <w:tblStyle w:val="844"/>
        <w:tblW w:w="10201" w:type="dxa"/>
        <w:tblLook w:val="04A0" w:firstRow="1" w:lastRow="0" w:firstColumn="1" w:lastColumn="0" w:noHBand="0" w:noVBand="1"/>
      </w:tblPr>
      <w:tblGrid>
        <w:gridCol w:w="4438"/>
        <w:gridCol w:w="5763"/>
      </w:tblGrid>
      <w:tr>
        <w:tblPrEx/>
        <w:trPr/>
        <w:tc>
          <w:tcPr>
            <w:tcW w:w="443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Термин/сокращение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</w:r>
          </w:p>
        </w:tc>
        <w:tc>
          <w:tcPr>
            <w:tcW w:w="576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Определение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443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Общество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  <w:tc>
          <w:tcPr>
            <w:tcW w:w="576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Общество с ограниченной ответственностью «Единый информационно-расчетный центр Республики Башкортостан».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443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Адрес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  <w:tc>
          <w:tcPr>
            <w:tcW w:w="576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450047, Республика Башкортостан, Г.О. город Уфа, г Уфа, ул.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Бакалинская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д. 9/8.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Тел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: +7 (347) 295-38-38;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 xml:space="preserve">e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-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 xml:space="preserve">mail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: </w:t>
            </w:r>
            <w:hyperlink r:id="rId9" w:tooltip="mailto:secretary@eirc-rb.ru" w:history="1">
              <w:r>
                <w:rPr>
                  <w:rStyle w:val="845"/>
                  <w:rFonts w:ascii="Liberation Serif" w:hAnsi="Liberation Serif" w:cs="Liberation Serif"/>
                  <w:sz w:val="28"/>
                  <w:szCs w:val="28"/>
                  <w:shd w:val="clear" w:color="auto" w:fill="ffffff"/>
                  <w:lang w:val="en-US"/>
                </w:rPr>
                <w:t xml:space="preserve">secretary</w:t>
              </w:r>
              <w:r>
                <w:rPr>
                  <w:rStyle w:val="845"/>
                  <w:rFonts w:ascii="Liberation Serif" w:hAnsi="Liberation Serif" w:cs="Liberation Serif"/>
                  <w:sz w:val="28"/>
                  <w:szCs w:val="28"/>
                  <w:shd w:val="clear" w:color="auto" w:fill="ffffff"/>
                </w:rPr>
                <w:t xml:space="preserve">@</w:t>
              </w:r>
              <w:r>
                <w:rPr>
                  <w:rStyle w:val="845"/>
                  <w:rFonts w:ascii="Liberation Serif" w:hAnsi="Liberation Serif" w:cs="Liberation Serif"/>
                  <w:sz w:val="28"/>
                  <w:szCs w:val="28"/>
                  <w:shd w:val="clear" w:color="auto" w:fill="ffffff"/>
                  <w:lang w:val="en-US"/>
                </w:rPr>
                <w:t xml:space="preserve">eirc</w:t>
              </w:r>
              <w:r>
                <w:rPr>
                  <w:rStyle w:val="845"/>
                  <w:rFonts w:ascii="Liberation Serif" w:hAnsi="Liberation Serif" w:cs="Liberation Serif"/>
                  <w:sz w:val="28"/>
                  <w:szCs w:val="28"/>
                  <w:shd w:val="clear" w:color="auto" w:fill="ffffff"/>
                </w:rPr>
                <w:t xml:space="preserve">-</w:t>
              </w:r>
              <w:r>
                <w:rPr>
                  <w:rStyle w:val="845"/>
                  <w:rFonts w:ascii="Liberation Serif" w:hAnsi="Liberation Serif" w:cs="Liberation Serif"/>
                  <w:sz w:val="28"/>
                  <w:szCs w:val="28"/>
                  <w:shd w:val="clear" w:color="auto" w:fill="ffffff"/>
                  <w:lang w:val="en-US"/>
                </w:rPr>
                <w:t xml:space="preserve">rb</w:t>
              </w:r>
              <w:r>
                <w:rPr>
                  <w:rStyle w:val="845"/>
                  <w:rFonts w:ascii="Liberation Serif" w:hAnsi="Liberation Serif" w:cs="Liberation Serif"/>
                  <w:sz w:val="28"/>
                  <w:szCs w:val="28"/>
                  <w:shd w:val="clear" w:color="auto" w:fill="ffffff"/>
                </w:rPr>
                <w:t xml:space="preserve">.</w:t>
              </w:r>
              <w:r>
                <w:rPr>
                  <w:rStyle w:val="845"/>
                  <w:rFonts w:ascii="Liberation Serif" w:hAnsi="Liberation Serif" w:cs="Liberation Serif"/>
                  <w:sz w:val="28"/>
                  <w:szCs w:val="28"/>
                  <w:shd w:val="clear" w:color="auto" w:fill="ffffff"/>
                  <w:lang w:val="en-US"/>
                </w:rPr>
                <w:t xml:space="preserve">ru</w:t>
              </w:r>
            </w:hyperlink>
            <w:r/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ИНН </w:t>
            </w:r>
            <w:r>
              <w:rPr>
                <w:rFonts w:ascii="Liberation Serif" w:hAnsi="Liberation Serif" w:cs="Liberation Serif"/>
                <w:color w:val="212529"/>
                <w:sz w:val="28"/>
                <w:szCs w:val="28"/>
                <w:shd w:val="clear" w:color="auto" w:fill="ffffff"/>
              </w:rPr>
              <w:t xml:space="preserve">0278950990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КПП </w:t>
            </w:r>
            <w:r>
              <w:rPr>
                <w:rFonts w:ascii="Liberation Serif" w:hAnsi="Liberation Serif" w:cs="Liberation Serif"/>
                <w:color w:val="212529"/>
                <w:sz w:val="28"/>
                <w:szCs w:val="28"/>
                <w:shd w:val="clear" w:color="auto" w:fill="ffffff"/>
              </w:rPr>
              <w:t xml:space="preserve">027401001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ОГРН </w:t>
            </w:r>
            <w:r>
              <w:rPr>
                <w:rFonts w:ascii="Liberation Serif" w:hAnsi="Liberation Serif" w:cs="Liberation Serif"/>
                <w:color w:val="212529"/>
                <w:sz w:val="28"/>
                <w:szCs w:val="28"/>
                <w:shd w:val="clear" w:color="auto" w:fill="ffffff"/>
              </w:rPr>
              <w:t xml:space="preserve">1190280043601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443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Акция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  <w:tc>
          <w:tcPr>
            <w:tcW w:w="576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Акция</w:t>
            </w:r>
            <w:r>
              <w:rPr>
                <w:rFonts w:ascii="Liberation Serif" w:hAnsi="Liberation Serif" w:eastAsia="Calibri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sz w:val="28"/>
                <w:szCs w:val="28"/>
                <w:lang w:eastAsia="ru-RU"/>
              </w:rPr>
              <w:t xml:space="preserve">«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8"/>
                <w:szCs w:val="28"/>
                <w:highlight w:val="white"/>
              </w:rPr>
              <w:t xml:space="preserve">Прояви заботу</w:t>
            </w:r>
            <w:r>
              <w:rPr>
                <w:rFonts w:ascii="Liberation Serif" w:hAnsi="Liberation Serif" w:eastAsia="Times New Roman" w:cs="Liberation Serif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443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Организатор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  <w:tc>
          <w:tcPr>
            <w:tcW w:w="576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Юридическое лицо, созданное в соответствии с законодательством Российской Федерации, организующее проведение Акции. Общество с ограниченной ответственностью «Единый информационно-расчетный центр Республики Башкортостан».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443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Клиент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  <w:tc>
          <w:tcPr>
            <w:tcW w:w="576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 участию в Акции допускаются дееспособные граждане Российской Федерации, достигшие 18 лет, проживающие на территории Республики Башкортостан и выполнившие все условия Акции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443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Участник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  <w:tc>
          <w:tcPr>
            <w:tcW w:w="576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Потребитель услуг, соответствующий требованиям, указанным в Положении, совершивший необходимые действия для участия в Акции согласно настоящему Положению.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443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Личный Кабинет Клиента физического лица (ЛКК «Мои Платежи»)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  <w:tc>
          <w:tcPr>
            <w:tcW w:w="576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Электронный сервис ООО «ЕИРЦ РБ», предназначенный для дистанционного обслуживания потребителей – физических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лиц. Сервис доступен по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ссылке  https://lk.eirc-rb.ru/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является общедоступным и бесплатным.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</w:tr>
      <w:tr>
        <w:tblPrEx/>
        <w:trPr>
          <w:trHeight w:val="1006"/>
        </w:trPr>
        <w:tc>
          <w:tcPr>
            <w:tcW w:w="443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Сайт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  <w:tc>
          <w:tcPr>
            <w:tcW w:w="576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https://eirc-rb.ru/ являющийся официальным сайтом ООО «ЕИРЦ РБ», на котором размещено Положение об Акции.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443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Приз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  <w:tc>
          <w:tcPr>
            <w:tcW w:w="576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Выигрыш, полученный в результате стимулирующей Акции.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443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Победитель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  <w:tc>
          <w:tcPr>
            <w:tcW w:w="576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Участник Акции, выбранный посредством интернет-генератора случайных чисел из реестра Участников Акции.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</w:tr>
    </w:tbl>
    <w:p>
      <w:pPr>
        <w:pStyle w:val="846"/>
        <w:ind w:left="0"/>
        <w:jc w:val="both"/>
        <w:tabs>
          <w:tab w:val="left" w:pos="993" w:leader="none"/>
          <w:tab w:val="left" w:pos="1276" w:leader="none"/>
          <w:tab w:val="left" w:pos="1418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Назначение и область применения.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846"/>
        <w:numPr>
          <w:ilvl w:val="1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Настоящее Положение о проведении Акции 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«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  <w:highlight w:val="white"/>
        </w:rPr>
        <w:t xml:space="preserve">Прояви заботу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(далее – Положение), является внутренним нормативным документом, определяющим правила проведения Акции, условия и её порядок.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1"/>
          <w:numId w:val="1"/>
        </w:numPr>
        <w:ind w:left="0" w:firstLine="709"/>
        <w:jc w:val="both"/>
        <w:tabs>
          <w:tab w:val="left" w:pos="1418" w:leader="none"/>
          <w:tab w:val="left" w:pos="1560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Настоящее Положение определяет основные цели и задачи Акции: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2"/>
          <w:numId w:val="5"/>
        </w:numPr>
        <w:ind w:left="0" w:firstLine="709"/>
        <w:jc w:val="both"/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Мотивирование клиентов к своевременной оплате потребленных ресурсов;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ind w:left="0" w:firstLine="709"/>
        <w:jc w:val="both"/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2.2.2. Использование интерактивных инструментов (наличие ЛКК ФЛ), для повышения качества обслуживания;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2"/>
          <w:numId w:val="6"/>
        </w:numPr>
        <w:ind w:left="0" w:firstLine="709"/>
        <w:jc w:val="both"/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Цифровизация и стимулирование потребителей компании к получению электронных платёжных документов.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ind w:left="709"/>
        <w:jc w:val="both"/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6"/>
        </w:numPr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Организаторы и участники Акции.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846"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Организатором Акции является ООО «ЕИРЦ РБ» (далее – Организатор).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участию в Акции допускаются физические лица, обслуживаемые Обществом с ограниченной ответственностью «Единый информационно-расчетный центр Республики Башкортостан» на территории Республики Башкортостан (далее – Участники).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Участие в Акции является добровольным и означает полное согласие участников с настоящим Положением.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Факт участия в Акции подразумевает, что участник Акции</w:t>
      </w:r>
      <w:r>
        <w:rPr>
          <w:rFonts w:ascii="Liberation Serif" w:hAnsi="Liberation Serif" w:cs="Liberation Serif"/>
          <w:sz w:val="28"/>
          <w:szCs w:val="28"/>
        </w:rPr>
        <w:t xml:space="preserve"> соглашается на предоставление своих персональных данных и их обработку Организатором Акции и уполномоченными ими лицами, которые могут быть использованы Организатором, в том числе для публичной демонстрации в СМИ в качестве информации, связанной с Акцией.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Принимая участие в Акции, Участник подтверждает, что ознакомлен с настоящим Положением и принимает условия Акции.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6"/>
        </w:numPr>
        <w:ind w:left="0" w:firstLine="709"/>
        <w:jc w:val="both"/>
        <w:rPr>
          <w:rFonts w:ascii="Liberation Serif" w:hAnsi="Liberation Serif" w:cs="Liberation Serif"/>
          <w:b/>
          <w:sz w:val="28"/>
          <w:szCs w:val="28"/>
          <w:lang w:val="en-US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Сроки проведения Акции.</w:t>
      </w:r>
      <w:r>
        <w:rPr>
          <w:rFonts w:ascii="Liberation Serif" w:hAnsi="Liberation Serif" w:cs="Liberation Serif"/>
          <w:b/>
          <w:sz w:val="28"/>
          <w:szCs w:val="28"/>
          <w:lang w:val="en-US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4.1.    Акция проводится в период </w:t>
      </w:r>
      <w:bookmarkStart w:id="2" w:name="_Hlk180569473"/>
      <w:r>
        <w:rPr>
          <w:rFonts w:ascii="Liberation Serif" w:hAnsi="Liberation Serif" w:cs="Liberation Serif"/>
          <w:sz w:val="28"/>
          <w:szCs w:val="28"/>
        </w:rPr>
        <w:t xml:space="preserve">с 01.09.2026 по </w:t>
      </w:r>
      <w:r>
        <w:rPr>
          <w:rFonts w:ascii="Liberation Serif" w:hAnsi="Liberation Serif" w:cs="Liberation Serif"/>
          <w:sz w:val="28"/>
          <w:szCs w:val="28"/>
        </w:rPr>
        <w:t xml:space="preserve">15</w:t>
      </w:r>
      <w:r>
        <w:rPr>
          <w:rFonts w:ascii="Liberation Serif" w:hAnsi="Liberation Serif" w:cs="Liberation Serif"/>
          <w:sz w:val="28"/>
          <w:szCs w:val="28"/>
        </w:rPr>
        <w:t xml:space="preserve">.10.2026 </w:t>
      </w:r>
      <w:bookmarkEnd w:id="2"/>
      <w:r>
        <w:rPr>
          <w:rFonts w:ascii="Liberation Serif" w:hAnsi="Liberation Serif" w:cs="Liberation Serif"/>
          <w:sz w:val="28"/>
          <w:szCs w:val="28"/>
        </w:rPr>
        <w:t xml:space="preserve">23:59 ч.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4.2.    Сроки подведения итогов Акции – не позднее </w:t>
      </w:r>
      <w:r>
        <w:rPr>
          <w:rFonts w:ascii="Liberation Serif" w:hAnsi="Liberation Serif" w:cs="Liberation Serif"/>
          <w:sz w:val="28"/>
          <w:szCs w:val="28"/>
        </w:rPr>
        <w:t xml:space="preserve">20</w:t>
      </w:r>
      <w:r>
        <w:rPr>
          <w:rFonts w:ascii="Liberation Serif" w:hAnsi="Liberation Serif" w:cs="Liberation Serif"/>
          <w:sz w:val="28"/>
          <w:szCs w:val="28"/>
        </w:rPr>
        <w:t xml:space="preserve">.1</w:t>
      </w:r>
      <w:r>
        <w:rPr>
          <w:rFonts w:ascii="Liberation Serif" w:hAnsi="Liberation Serif" w:cs="Liberation Serif"/>
          <w:sz w:val="28"/>
          <w:szCs w:val="28"/>
        </w:rPr>
        <w:t xml:space="preserve">0</w:t>
      </w:r>
      <w:r>
        <w:rPr>
          <w:rFonts w:ascii="Liberation Serif" w:hAnsi="Liberation Serif" w:cs="Liberation Serif"/>
          <w:sz w:val="28"/>
          <w:szCs w:val="28"/>
        </w:rPr>
        <w:t xml:space="preserve">.2026.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6"/>
        </w:numPr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Условия и порядок проведения Акции.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846"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Результатом Акции является вручение 7 (семи) подарков семи победителям Акции. Подарки: электронные подарочные сертификаты номиналом 3000 (три тысячи) рублей в </w:t>
      </w:r>
      <w:r>
        <w:rPr>
          <w:rFonts w:ascii="Liberation Serif" w:hAnsi="Liberation Serif" w:cs="Liberation Serif"/>
          <w:sz w:val="28"/>
          <w:szCs w:val="28"/>
        </w:rPr>
        <w:t xml:space="preserve">маркетплейс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t xml:space="preserve">Для того, чтобы стать Участником Акции, необходимо:</w:t>
      </w:r>
      <w:r>
        <w:rPr>
          <w:rFonts w:ascii="Liberation Serif" w:hAnsi="Liberation Serif" w:cs="Liberation Serif"/>
          <w:sz w:val="28"/>
          <w:szCs w:val="28"/>
          <w:u w:val="single"/>
        </w:rPr>
      </w:r>
    </w:p>
    <w:p>
      <w:pPr>
        <w:contextualSpacing/>
        <w:ind w:firstLine="708"/>
        <w:jc w:val="both"/>
        <w:rPr>
          <w:rFonts w:ascii="Liberation Serif" w:hAnsi="Liberation Serif" w:eastAsia="Liberation Serif" w:cs="Liberation Serif"/>
          <w:bCs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</w:rPr>
        <w:t xml:space="preserve">5.2.1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white"/>
        </w:rPr>
        <w:t xml:space="preserve"> Использовать Личный Кабинет Клиента Организатора с привязанным (минимум одним) лицевым счётом.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white"/>
        </w:rPr>
      </w:r>
    </w:p>
    <w:p>
      <w:pPr>
        <w:contextualSpacing/>
        <w:ind w:firstLine="708"/>
        <w:jc w:val="both"/>
        <w:rPr>
          <w:rFonts w:ascii="Liberation Serif" w:hAnsi="Liberation Serif" w:eastAsia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5.2.2.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white"/>
        </w:rPr>
        <w:t xml:space="preserve">Иметь действующую подписку или подписаться в период проведения Акции на получение электронного платёжного документа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по действующему, привязанному в его Личном кабинете, лицевому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счёту.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firstLine="708"/>
        <w:jc w:val="both"/>
        <w:rPr>
          <w:rFonts w:ascii="Liberation Serif" w:hAnsi="Liberation Serif" w:eastAsia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5.2.3. В период с 01.09.2026 по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15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.10.2026 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white"/>
        </w:rPr>
        <w:t xml:space="preserve">привязать в Личном кабинете под своей учётной записью пользователя еще 1 (один) лицевой счёт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white"/>
        </w:rPr>
        <w:t xml:space="preserve"> другого лица</w:t>
      </w:r>
      <w:r>
        <w:rPr>
          <w:rFonts w:ascii="Liberation Serif" w:hAnsi="Liberation Serif" w:eastAsia="Liberation Serif" w:cs="Liberation Serif"/>
          <w:bCs/>
          <w:sz w:val="28"/>
          <w:szCs w:val="28"/>
          <w:highlight w:val="white"/>
        </w:rPr>
        <w:t xml:space="preserve">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Допускается привязка под своей учётной записью пользователя более 1 (одного) лицевого счёта.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firstLine="708"/>
        <w:jc w:val="both"/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5.2.4. До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15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.10.2026 в полном объёме произвести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оплату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по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всем привязанным в Личном кабинете лицевым счетам текущие начисления за ЖКУ.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6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Акция 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«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  <w:highlight w:val="white"/>
        </w:rPr>
        <w:t xml:space="preserve">Прояви заботу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»</w:t>
      </w:r>
      <w:r>
        <w:rPr>
          <w:rFonts w:ascii="Liberation Serif" w:hAnsi="Liberation Serif" w:cs="Liberation Serif"/>
          <w:sz w:val="28"/>
          <w:szCs w:val="28"/>
        </w:rPr>
        <w:t xml:space="preserve"> распространяется на потребителей в Республике Башкортостан, находящихся на обслуживании в ООО «ЕИРЦ РБ», за исключением сотрудников Организатора.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6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Договор об участии в Акции между Участником и Обществом заключается в форме акцепта Участником публичной оферты Общества.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6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Публичная оферта Общества Акции выражается в размещении им информации об условиях Акции в средствах массовой информации, на плакатах и на официальном сайте.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6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Акцепт Участником публичной оферты Обществом выражается в совершении им в установленный настоящим Положением срок Акции оплаты за ЖКУ.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ind w:left="709"/>
        <w:jc w:val="both"/>
        <w:tabs>
          <w:tab w:val="left" w:pos="1418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6"/>
        </w:numPr>
        <w:ind w:left="0" w:firstLine="709"/>
        <w:jc w:val="both"/>
        <w:tabs>
          <w:tab w:val="left" w:pos="993" w:leader="none"/>
          <w:tab w:val="left" w:pos="1276" w:leader="none"/>
        </w:tabs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Подведение итогов Акции.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846"/>
        <w:numPr>
          <w:ilvl w:val="1"/>
          <w:numId w:val="6"/>
        </w:numPr>
        <w:ind w:left="0" w:firstLine="709"/>
        <w:jc w:val="both"/>
        <w:tabs>
          <w:tab w:val="left" w:pos="720" w:leader="none"/>
        </w:tabs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Организатором</w:t>
      </w:r>
      <w:r>
        <w:rPr>
          <w:rFonts w:ascii="Liberation Serif" w:hAnsi="Liberation Serif" w:cs="Liberation Serif"/>
          <w:color w:val="ffffff" w:themeColor="background1"/>
          <w:sz w:val="28"/>
          <w:szCs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  <w:t xml:space="preserve"> Акции осуществляется проверка выполнения Участниками всех условий, предусмотренных настоящим Положением и определение Участников, имеющих право на проведение в отношении них мероприятий, предусмотренных результатом Акции;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1276" w:leader="none"/>
          <w:tab w:val="left" w:pos="1418" w:leader="none"/>
          <w:tab w:val="left" w:pos="1560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отношении Участников, по которым будет сделан вывод о выполнении условий, предусмотренных разделом 5 настоящего Положения, будут присвоены порядковые номера к лицевому счёту абонента и включены в </w:t>
      </w:r>
      <w:r>
        <w:rPr>
          <w:rFonts w:ascii="Liberation Serif" w:hAnsi="Liberation Serif" w:cs="Liberation Serif"/>
          <w:sz w:val="28"/>
          <w:szCs w:val="28"/>
        </w:rPr>
        <w:t xml:space="preserve">Excel</w:t>
      </w:r>
      <w:r>
        <w:rPr>
          <w:rFonts w:ascii="Liberation Serif" w:hAnsi="Liberation Serif" w:cs="Liberation Serif"/>
          <w:sz w:val="28"/>
          <w:szCs w:val="28"/>
        </w:rPr>
        <w:t xml:space="preserve"> - файл.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1"/>
          <w:numId w:val="6"/>
        </w:numPr>
        <w:ind w:left="0" w:firstLine="709"/>
        <w:jc w:val="both"/>
        <w:tabs>
          <w:tab w:val="left" w:pos="993" w:leader="none"/>
          <w:tab w:val="left" w:pos="1560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Розыгрыш Призов проводится не позднее 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20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октября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 2026 года. Определение Победителей осуществляется путем выбора порядкового номера из 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Excel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-файла (реестра Участников) с использованием </w:t>
      </w:r>
      <w:r>
        <w:rPr>
          <w:rFonts w:ascii="Liberation Serif" w:hAnsi="Liberation Serif" w:eastAsia="Times New Roman" w:cs="Liberation Serif"/>
          <w:bCs/>
          <w:sz w:val="28"/>
          <w:szCs w:val="28"/>
          <w:lang w:eastAsia="ru-RU"/>
        </w:rPr>
        <w:t xml:space="preserve">общедоступного программного обеспечения (интернет-сервиса) по генерации случайных чисел в режиме реального времени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. Процедура определения Победителей фиксируется о</w:t>
      </w:r>
      <w:r>
        <w:rPr>
          <w:rFonts w:ascii="Liberation Serif" w:hAnsi="Liberation Serif" w:cs="Liberation Serif"/>
          <w:sz w:val="28"/>
          <w:szCs w:val="28"/>
        </w:rPr>
        <w:t xml:space="preserve">тветственным лицом Организатора и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 оформляется Протоколом.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Организатор уведомляет Победителя о победе в Акции посредством направления e-</w:t>
      </w:r>
      <w:r>
        <w:rPr>
          <w:rFonts w:ascii="Liberation Serif" w:hAnsi="Liberation Serif" w:cs="Liberation Serif"/>
          <w:sz w:val="28"/>
          <w:szCs w:val="28"/>
        </w:rPr>
        <w:t xml:space="preserve">mail</w:t>
      </w:r>
      <w:r>
        <w:rPr>
          <w:rFonts w:ascii="Liberation Serif" w:hAnsi="Liberation Serif" w:cs="Liberation Serif"/>
          <w:sz w:val="28"/>
          <w:szCs w:val="28"/>
        </w:rPr>
        <w:t xml:space="preserve">-сообщения на электронный адрес или </w:t>
      </w:r>
      <w:r>
        <w:rPr>
          <w:rFonts w:ascii="Liberation Serif" w:hAnsi="Liberation Serif" w:cs="Liberation Serif"/>
          <w:sz w:val="28"/>
          <w:szCs w:val="28"/>
        </w:rPr>
        <w:t xml:space="preserve">sms</w:t>
      </w:r>
      <w:r>
        <w:rPr>
          <w:rFonts w:ascii="Liberation Serif" w:hAnsi="Liberation Serif" w:cs="Liberation Serif"/>
          <w:sz w:val="28"/>
          <w:szCs w:val="28"/>
        </w:rPr>
        <w:t xml:space="preserve">-сообщения/ телефонного звонка на номер мобильного телефона, указанные Участником в ЛКК «Мои платежи». Выбор способа уведомления Победителя остаётся на усмотрение </w:t>
      </w:r>
      <w:r>
        <w:rPr>
          <w:rFonts w:ascii="Liberation Serif" w:hAnsi="Liberation Serif" w:cs="Liberation Serif"/>
          <w:sz w:val="28"/>
          <w:szCs w:val="28"/>
        </w:rPr>
        <w:t xml:space="preserve">Организатора. Срок уведомления устанавливается до </w:t>
      </w:r>
      <w:r>
        <w:rPr>
          <w:rFonts w:ascii="Liberation Serif" w:hAnsi="Liberation Serif" w:cs="Liberation Serif"/>
          <w:sz w:val="28"/>
          <w:szCs w:val="28"/>
        </w:rPr>
        <w:t xml:space="preserve">30</w:t>
      </w:r>
      <w:r>
        <w:rPr>
          <w:rFonts w:ascii="Liberation Serif" w:hAnsi="Liberation Serif" w:cs="Liberation Serif"/>
          <w:sz w:val="28"/>
          <w:szCs w:val="28"/>
        </w:rPr>
        <w:t xml:space="preserve">.1</w:t>
      </w:r>
      <w:r>
        <w:rPr>
          <w:rFonts w:ascii="Liberation Serif" w:hAnsi="Liberation Serif" w:cs="Liberation Serif"/>
          <w:sz w:val="28"/>
          <w:szCs w:val="28"/>
        </w:rPr>
        <w:t xml:space="preserve">0</w:t>
      </w:r>
      <w:r>
        <w:rPr>
          <w:rFonts w:ascii="Liberation Serif" w:hAnsi="Liberation Serif" w:cs="Liberation Serif"/>
          <w:sz w:val="28"/>
          <w:szCs w:val="28"/>
        </w:rPr>
        <w:t xml:space="preserve">.2026.  Победители смогут получить призы в срок до </w:t>
      </w:r>
      <w:r>
        <w:rPr>
          <w:rFonts w:ascii="Liberation Serif" w:hAnsi="Liberation Serif" w:cs="Liberation Serif"/>
          <w:sz w:val="28"/>
          <w:szCs w:val="28"/>
        </w:rPr>
        <w:t xml:space="preserve">10</w:t>
      </w:r>
      <w:bookmarkStart w:id="3" w:name="_GoBack"/>
      <w:r/>
      <w:bookmarkEnd w:id="3"/>
      <w:r>
        <w:rPr>
          <w:rFonts w:ascii="Liberation Serif" w:hAnsi="Liberation Serif" w:cs="Liberation Serif"/>
          <w:sz w:val="28"/>
          <w:szCs w:val="28"/>
        </w:rPr>
        <w:t xml:space="preserve">.11.2026.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6"/>
        </w:numPr>
        <w:ind w:left="0" w:firstLine="709"/>
        <w:jc w:val="both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Порядок информирования об Акции.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846"/>
        <w:numPr>
          <w:ilvl w:val="1"/>
          <w:numId w:val="6"/>
        </w:numPr>
        <w:ind w:left="0" w:firstLine="709"/>
        <w:jc w:val="both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Информирование потенциальных Участников об условиях и порядке проведения настоящей Акции, а также об изменениях, производятся путем публикации Положения о проведении Акции в сети Интернет на сайте </w:t>
      </w:r>
      <w:hyperlink r:id="rId10" w:tooltip="https://eirc-rb.ru/" w:history="1">
        <w:r>
          <w:rPr>
            <w:rStyle w:val="845"/>
            <w:rFonts w:ascii="Liberation Serif" w:hAnsi="Liberation Serif" w:cs="Liberation Serif"/>
            <w:sz w:val="28"/>
            <w:szCs w:val="28"/>
          </w:rPr>
          <w:t xml:space="preserve">https://eirc-rb.ru/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в течение всего периода проведения Акции.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num" w:pos="341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11.2. Организатор Акции вправе осуществлять дополнительное информирование об Акции путем рассылки соответствующих информационных сообщений в средства массовой информации, публикации объявления в местах обслуживания потребителей электрической энергии.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  <w:tab w:val="left" w:pos="1560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1" w:firstLine="708"/>
        <w:jc w:val="both"/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12.Персональные данные.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846"/>
        <w:ind w:left="0" w:firstLine="709"/>
        <w:jc w:val="both"/>
        <w:tabs>
          <w:tab w:val="left" w:pos="1276" w:leader="none"/>
          <w:tab w:val="left" w:pos="1418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12.1. Принимая участие в Акции, Участник обязуется ук</w:t>
      </w:r>
      <w:r>
        <w:rPr>
          <w:rFonts w:ascii="Liberation Serif" w:hAnsi="Liberation Serif" w:cs="Liberation Serif"/>
          <w:sz w:val="28"/>
          <w:szCs w:val="28"/>
        </w:rPr>
        <w:t xml:space="preserve">азывать точные актуальные (достоверные) данные, а также, действуя своей волей и в своём интересе, даёт согласие Организатору и Оператору Организатора на обработку своих персональных данных с использованием средств автоматизации и /или без использования так</w:t>
      </w:r>
      <w:r>
        <w:rPr>
          <w:rFonts w:ascii="Liberation Serif" w:hAnsi="Liberation Serif" w:cs="Liberation Serif"/>
          <w:sz w:val="28"/>
          <w:szCs w:val="28"/>
        </w:rPr>
        <w:t xml:space="preserve">их средств на следующих условиях: персональные данные будут использоваться исключительно Организатором, Оператором Организатора в целях проведения настоящей Акции и не будут предоставляться никаким третьим лицам для целей, не связанных с настоящей Акцией.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12.2. Согласие даётся Участником на совершение следующих действий с персональными данными: сбор, запись, систематизация, накопление, хранение, уточнение (обновление, изменение), испол</w:t>
      </w:r>
      <w:r>
        <w:rPr>
          <w:rFonts w:ascii="Liberation Serif" w:hAnsi="Liberation Serif" w:cs="Liberation Serif"/>
          <w:sz w:val="28"/>
          <w:szCs w:val="28"/>
        </w:rPr>
        <w:t xml:space="preserve">ьзование, доступ, обезличивание, блокирование, удаление, уничтожение, передача третьим лицам в целях сбора аналитических данных и обеспечения работы сервиса в случаях и объёме, предусмотренных законодательством Российской Федерации и настоящими Правилами.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ind w:left="0" w:firstLine="709"/>
        <w:jc w:val="both"/>
        <w:tabs>
          <w:tab w:val="left" w:pos="1418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12.3. Перечень персональных данных, на обработку которых Участник даёт согласие: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фамилия, имя, отчество;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номер лицевого счёта ООО «ЕИРЦ РБ»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мобильный телефон;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адрес электронной почты (e-</w:t>
      </w:r>
      <w:r>
        <w:rPr>
          <w:rFonts w:ascii="Liberation Serif" w:hAnsi="Liberation Serif" w:cs="Liberation Serif"/>
          <w:sz w:val="28"/>
          <w:szCs w:val="28"/>
        </w:rPr>
        <w:t xml:space="preserve">mail</w:t>
      </w:r>
      <w:r>
        <w:rPr>
          <w:rFonts w:ascii="Liberation Serif" w:hAnsi="Liberation Serif" w:cs="Liberation Serif"/>
          <w:sz w:val="28"/>
          <w:szCs w:val="28"/>
        </w:rPr>
        <w:t xml:space="preserve">).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12.4. Персональные данные Участников, получивших призы, хранятся в соответствии с требованиями законодательства Российской Федерации на условиях конфиденциальности.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ind w:left="0" w:firstLine="709"/>
        <w:jc w:val="both"/>
        <w:tabs>
          <w:tab w:val="left" w:pos="1418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12.5. Участник Акции вправе в любое время запросить информацию, касающуюся обработки его персональных данных в соответствии с ч. 7 ст. 14 ФЗ «О персональных данных», а также отозвать согласие на обработку персональны</w:t>
      </w:r>
      <w:r>
        <w:rPr>
          <w:rFonts w:ascii="Liberation Serif" w:hAnsi="Liberation Serif" w:cs="Liberation Serif"/>
          <w:sz w:val="28"/>
          <w:szCs w:val="28"/>
        </w:rPr>
        <w:t xml:space="preserve">х данных, направив Организатору Акции соответствующее уведомление заказным письмом с уведомлением о вручении. Отзыв Участником согласия на обработку персональных данных автоматически влечет за собой выход соответствующего Участника из участия в Акции и дел</w:t>
      </w:r>
      <w:r>
        <w:rPr>
          <w:rFonts w:ascii="Liberation Serif" w:hAnsi="Liberation Serif" w:cs="Liberation Serif"/>
          <w:sz w:val="28"/>
          <w:szCs w:val="28"/>
        </w:rPr>
        <w:t xml:space="preserve">ает невозможным получение приза Акции. После получения уведомления Участника об отзыве согласия на обработку персональных данных Организатор Акции обязаны прекратить их обработку и в случае, если сохранение персональных данных более не требуется для целей </w:t>
      </w:r>
      <w:r>
        <w:rPr>
          <w:rFonts w:ascii="Liberation Serif" w:hAnsi="Liberation Serif" w:cs="Liberation Serif"/>
          <w:sz w:val="28"/>
          <w:szCs w:val="28"/>
        </w:rPr>
        <w:t xml:space="preserve">обработки персональных данных, уничтожить персональные данные в срок, не превышающий 90 (девяносто) дней с даты поступления у</w:t>
      </w:r>
      <w:r>
        <w:rPr>
          <w:rFonts w:ascii="Liberation Serif" w:hAnsi="Liberation Serif" w:cs="Liberation Serif"/>
          <w:sz w:val="28"/>
          <w:szCs w:val="28"/>
        </w:rPr>
        <w:t xml:space="preserve">казанного отзыва, за исключением случаев, когда Организатор Акции вправе осуществлять обработку персональных данных без согласия субъекта персональных данных на основаниях, предусмотренных Законом «О персональных данных» или другими федеральными законами.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ind w:left="0" w:firstLine="709"/>
        <w:jc w:val="both"/>
        <w:tabs>
          <w:tab w:val="left" w:pos="1134" w:leader="none"/>
          <w:tab w:val="left" w:pos="1276" w:leader="none"/>
          <w:tab w:val="left" w:pos="1418" w:leader="none"/>
          <w:tab w:val="left" w:pos="1560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12.6. Участник вправе требовать </w:t>
      </w:r>
      <w:r>
        <w:rPr>
          <w:rFonts w:ascii="Liberation Serif" w:hAnsi="Liberation Serif" w:cs="Liberation Serif"/>
          <w:sz w:val="28"/>
          <w:szCs w:val="28"/>
        </w:rPr>
        <w:t xml:space="preserve">от Организатора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направив Организатору соответствующее уведомление заказным письмом с уведомлением о вручении.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ind w:left="0" w:firstLine="709"/>
        <w:jc w:val="both"/>
        <w:tabs>
          <w:tab w:val="left" w:pos="1134" w:leader="none"/>
          <w:tab w:val="left" w:pos="1276" w:leader="none"/>
          <w:tab w:val="left" w:pos="1418" w:leader="none"/>
          <w:tab w:val="left" w:pos="1560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3"/>
        </w:numPr>
        <w:ind w:left="0" w:firstLine="709"/>
        <w:jc w:val="both"/>
        <w:tabs>
          <w:tab w:val="left" w:pos="1418" w:leader="none"/>
        </w:tabs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Иные условия. 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13.1. Во всём, что не предусмотрено настоящими Правилами, Организатор и Участники руководствуются действующим законодательством Российской Федерации.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13.2. Организатор не несет ответственности перед Участниками в следующих случаях: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несвоевременного уведомления Участника о получении приза по причине, не зависящей от Организатора;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2"/>
        </w:numPr>
        <w:ind w:left="0" w:firstLine="709"/>
        <w:jc w:val="both"/>
        <w:tabs>
          <w:tab w:val="left" w:pos="1418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сбоев работы операторов/провайдеров в сети Интернет, к которым подключён Участник, препятствующих участию в настоящей Акции;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сбоев в электронных системах связи, включая сеть Интернет, приведших к потере электронных данных Акции;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2"/>
        </w:numPr>
        <w:ind w:left="0" w:firstLine="709"/>
        <w:jc w:val="both"/>
        <w:tabs>
          <w:tab w:val="left" w:pos="1418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наступления форс-мажорных обстоятельств, непосредственно влияющих на выполнение Организатором с</w:t>
      </w:r>
      <w:r>
        <w:rPr>
          <w:rFonts w:ascii="Liberation Serif" w:hAnsi="Liberation Serif" w:cs="Liberation Serif"/>
          <w:sz w:val="28"/>
          <w:szCs w:val="28"/>
        </w:rPr>
        <w:t xml:space="preserve">воих обязательств и делающих невозможным их исполнение, включая наводнения, пожары, забастовки, землетрясения или другие природные факторы; массовые эпидемии; распоряжения государственных органов и другие, не зависящие от Организатора объективные причины;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2"/>
        </w:numPr>
        <w:ind w:left="0" w:firstLine="709"/>
        <w:jc w:val="both"/>
        <w:tabs>
          <w:tab w:val="left" w:pos="1418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неисполнения (несвоевременного исполнения) Участниками своих обязанностей, предусмотренных настоящими Правилами;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numPr>
          <w:ilvl w:val="0"/>
          <w:numId w:val="2"/>
        </w:numPr>
        <w:ind w:left="0" w:firstLine="709"/>
        <w:jc w:val="both"/>
        <w:tabs>
          <w:tab w:val="left" w:pos="1418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действий (бездействия), а также ошибки Участников Акции.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13.3. Организатор оставляет за собой право отказать в участии в Акции, если в соответствии с настоящими Правилами данное лицо не имело права участия в Акции.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13.4. Организатор вправе вносить изменения в настоящие Правила в части, не касающейся порядка определения Победителей и количества/состава Призов, с обязательной публикацией таких изменений на Сайте.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13.5. Если по какой – либо причине аспект настоящей Акции не может проводиться так, как это запланировано, включая причины, выз</w:t>
      </w:r>
      <w:r>
        <w:rPr>
          <w:rFonts w:ascii="Liberation Serif" w:hAnsi="Liberation Serif" w:cs="Liberation Serif"/>
          <w:sz w:val="28"/>
          <w:szCs w:val="28"/>
        </w:rPr>
        <w:t xml:space="preserve">ванные заражением компьютерными вирусами, неполадками в сети Интернет, дефектами, манипуляциями, несанкционированным вмешательством, фальсификацией, техническими неполадками или любой причиной, не контролируемой Организатором, которая искажает или затрагив</w:t>
      </w:r>
      <w:r>
        <w:rPr>
          <w:rFonts w:ascii="Liberation Serif" w:hAnsi="Liberation Serif" w:cs="Liberation Serif"/>
          <w:sz w:val="28"/>
          <w:szCs w:val="28"/>
        </w:rPr>
        <w:t xml:space="preserve">ает исполнение, безопасность, честность, целостность или надлежащее проведение Акции, Организатор вправе приостановить или досрочно прекратить проведение Акции при условии, если устранение таких причин (вирусы, сбои, вмешательство) объективно невозможно и </w:t>
      </w:r>
      <w:r>
        <w:rPr>
          <w:rFonts w:ascii="Liberation Serif" w:hAnsi="Liberation Serif" w:cs="Liberation Serif"/>
          <w:sz w:val="28"/>
          <w:szCs w:val="28"/>
        </w:rPr>
        <w:t xml:space="preserve">это существенно влияет на честность розыгрыша. О прекращении Акции объявляется на Сайте не позднее 24 часов с момента принятия решения.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13.6. Термины, употребляемые в настоящих Правилах, относятся исключительно к настоящей Акции.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13.7. Все спорные вопросы, касающиеся настоящей Акции, регулируются на основе исключительно пунктами настоящего Положения, а в части, ими не урегулированной, — в соответствии с действующим законодательством Российской Федерации.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142" w:firstLine="567"/>
        <w:jc w:val="both"/>
        <w:spacing w:line="240" w:lineRule="auto"/>
        <w:widowControl w:val="off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14. Призовой фонд.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tabs>
          <w:tab w:val="left" w:pos="1701" w:leader="none"/>
          <w:tab w:val="left" w:pos="1843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Призовой фонд Акции формируется за счет средств Организатора Акции и включает призы для победителей Акции.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14.2. Призовой фонд формируется за счёт средств Организатора для победителей розыгрыша, проводимого среди Участников Акции. Перечень подарков: 7 (семь) электронных сертификатов номиналом в 3000 (три тысячи) рублей в </w:t>
      </w:r>
      <w:r>
        <w:rPr>
          <w:rFonts w:ascii="Liberation Serif" w:hAnsi="Liberation Serif" w:cs="Liberation Serif"/>
          <w:sz w:val="28"/>
          <w:szCs w:val="28"/>
        </w:rPr>
        <w:t xml:space="preserve">маркетплейс</w:t>
      </w:r>
      <w:r>
        <w:rPr>
          <w:rFonts w:ascii="Liberation Serif" w:hAnsi="Liberation Serif" w:cs="Liberation Serif"/>
          <w:sz w:val="28"/>
          <w:szCs w:val="28"/>
        </w:rPr>
        <w:t xml:space="preserve">. Замена призов на денежные средства не производится.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46"/>
        <w:ind w:left="1429"/>
        <w:jc w:val="both"/>
        <w:tabs>
          <w:tab w:val="left" w:pos="1701" w:leader="none"/>
          <w:tab w:val="left" w:pos="1843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426" w:leader="none"/>
          <w:tab w:val="left" w:pos="1418" w:leader="none"/>
          <w:tab w:val="left" w:pos="1560" w:leader="none"/>
        </w:tabs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15. Заключительные положения.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tabs>
          <w:tab w:val="left" w:pos="993" w:leader="none"/>
          <w:tab w:val="left" w:pos="1276" w:leader="none"/>
          <w:tab w:val="left" w:pos="1418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15.1. Все спорные вопросы, касающиеся настоящей Акции, разрешаются в порядке действующего законодательства РФ.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276" w:leader="none"/>
          <w:tab w:val="left" w:pos="1560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15.2. </w:t>
      </w:r>
      <w:r>
        <w:rPr>
          <w:rFonts w:ascii="Liberation Serif" w:hAnsi="Liberation Serif" w:eastAsia="Times New Roman" w:cs="Liberation Serif"/>
          <w:iCs/>
          <w:sz w:val="28"/>
          <w:szCs w:val="28"/>
          <w:lang w:eastAsia="ru-RU"/>
        </w:rPr>
        <w:t xml:space="preserve">Организатор Акции вправе</w:t>
      </w:r>
      <w:r>
        <w:rPr>
          <w:rFonts w:ascii="Liberation Serif" w:hAnsi="Liberation Serif" w:eastAsia="Times New Roman" w:cs="Liberation Serif"/>
          <w:iCs/>
          <w:sz w:val="28"/>
          <w:szCs w:val="28"/>
          <w:lang w:eastAsia="ru-RU"/>
        </w:rPr>
        <w:t xml:space="preserve"> отказать Участнику в выдаче Приза в случае непредоставления Участником ИНН и копии паспорта (основной разворот и страница с актуальной регистрацией), а также в случае, если предоставление таких данных и документов необходимо для исполнения Организатором  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 обязанностей</w:t>
      </w:r>
      <w:r>
        <w:rPr>
          <w:rFonts w:ascii="Liberation Serif" w:hAnsi="Liberation Serif" w:eastAsia="Times New Roman" w:cs="Liberation Serif"/>
          <w:iCs/>
          <w:sz w:val="28"/>
          <w:szCs w:val="28"/>
          <w:lang w:eastAsia="ru-RU"/>
        </w:rPr>
        <w:t xml:space="preserve"> налогового агента в соответствии с Налоговым кодексом РФ, и их непредоставление делает невозможным удержание налога на доходы физических лиц. Отказ в выдаче Приза по данному основанию не является нарушением прав Участника.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15.3. Победитель Акции несет все права и обязанности налогоплательщика, возникающие в связи с получением Приза.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15.4. В случае поступления от Участников обращений по обратной связи ответ дается Организатором в течение 10 рабочих дней.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15.5. Организатор удерживает налог на доходы физических лиц (НДФЛ) с суммы Приза в порядке, предусмотренном ст. 226 НК РФ, если это предусмотрено законом. 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256" w:right="-20"/>
        <w:spacing w:before="33" w:line="226" w:lineRule="exact"/>
        <w:rPr>
          <w:rFonts w:ascii="Times New Roman" w:hAnsi="Times New Roman" w:eastAsia="Times New Roman" w:cs="Times New Roman"/>
          <w:b/>
          <w:bCs/>
          <w:position w:val="-1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position w:val="-1"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position w:val="-1"/>
          <w:sz w:val="20"/>
          <w:szCs w:val="20"/>
        </w:rPr>
      </w:r>
    </w:p>
    <w:p>
      <w:pPr>
        <w:ind w:firstLine="709"/>
        <w:spacing w:after="0" w:line="240" w:lineRule="auto"/>
        <w:tabs>
          <w:tab w:val="left" w:pos="6663" w:leader="none"/>
        </w:tabs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568" w:right="709" w:bottom="709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360"/>
      </w:pPr>
      <w:rPr>
        <w:b/>
      </w:rPr>
    </w:lvl>
    <w:lvl w:ilvl="1">
      <w:start w:val="1"/>
      <w:numFmt w:val="decimal"/>
      <w:isLgl/>
      <w:suff w:val="tab"/>
      <w:lvlText w:val="%1.%2."/>
      <w:lvlJc w:val="left"/>
      <w:pPr>
        <w:ind w:left="1430" w:hanging="720"/>
      </w:pPr>
      <w:rPr>
        <w:b w:val="0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430" w:hanging="720"/>
      </w:pPr>
      <w:rPr>
        <w:color w:val="000000" w:themeColor="text1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</w:lvl>
  </w:abstractNum>
  <w:abstractNum w:abstractNumId="3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22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0" w:hanging="180"/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3"/>
      <w:numFmt w:val="decimal"/>
      <w:isLgl w:val="false"/>
      <w:suff w:val="tab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5"/>
    <w:link w:val="66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5"/>
    <w:link w:val="66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75"/>
    <w:link w:val="66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75"/>
    <w:link w:val="66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75"/>
    <w:link w:val="670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75"/>
    <w:link w:val="671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75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75"/>
    <w:link w:val="673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75"/>
    <w:link w:val="674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75"/>
    <w:link w:val="688"/>
    <w:uiPriority w:val="10"/>
    <w:rPr>
      <w:sz w:val="48"/>
      <w:szCs w:val="48"/>
    </w:rPr>
  </w:style>
  <w:style w:type="character" w:styleId="37">
    <w:name w:val="Subtitle Char"/>
    <w:basedOn w:val="675"/>
    <w:link w:val="690"/>
    <w:uiPriority w:val="11"/>
    <w:rPr>
      <w:sz w:val="24"/>
      <w:szCs w:val="24"/>
    </w:rPr>
  </w:style>
  <w:style w:type="character" w:styleId="39">
    <w:name w:val="Quote Char"/>
    <w:link w:val="692"/>
    <w:uiPriority w:val="29"/>
    <w:rPr>
      <w:i/>
    </w:rPr>
  </w:style>
  <w:style w:type="character" w:styleId="41">
    <w:name w:val="Intense Quote Char"/>
    <w:link w:val="694"/>
    <w:uiPriority w:val="30"/>
    <w:rPr>
      <w:i/>
    </w:rPr>
  </w:style>
  <w:style w:type="character" w:styleId="43">
    <w:name w:val="Header Char"/>
    <w:basedOn w:val="675"/>
    <w:link w:val="696"/>
    <w:uiPriority w:val="99"/>
  </w:style>
  <w:style w:type="character" w:styleId="47">
    <w:name w:val="Caption Char"/>
    <w:basedOn w:val="675"/>
    <w:link w:val="700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27"/>
    <w:uiPriority w:val="99"/>
    <w:rPr>
      <w:sz w:val="18"/>
    </w:rPr>
  </w:style>
  <w:style w:type="character" w:styleId="179">
    <w:name w:val="Endnote Text Char"/>
    <w:link w:val="830"/>
    <w:uiPriority w:val="99"/>
    <w:rPr>
      <w:sz w:val="20"/>
    </w:rPr>
  </w:style>
  <w:style w:type="paragraph" w:styleId="665" w:default="1">
    <w:name w:val="Normal"/>
    <w:qFormat/>
  </w:style>
  <w:style w:type="paragraph" w:styleId="666">
    <w:name w:val="Heading 1"/>
    <w:basedOn w:val="665"/>
    <w:next w:val="665"/>
    <w:link w:val="67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7">
    <w:name w:val="Heading 2"/>
    <w:basedOn w:val="665"/>
    <w:next w:val="665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8">
    <w:name w:val="Heading 3"/>
    <w:basedOn w:val="665"/>
    <w:next w:val="665"/>
    <w:link w:val="6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9">
    <w:name w:val="Heading 4"/>
    <w:basedOn w:val="665"/>
    <w:next w:val="665"/>
    <w:link w:val="6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665"/>
    <w:next w:val="665"/>
    <w:link w:val="68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665"/>
    <w:next w:val="665"/>
    <w:link w:val="68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2">
    <w:name w:val="Heading 7"/>
    <w:basedOn w:val="665"/>
    <w:next w:val="665"/>
    <w:link w:val="68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73">
    <w:name w:val="Heading 8"/>
    <w:basedOn w:val="665"/>
    <w:next w:val="665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74">
    <w:name w:val="Heading 9"/>
    <w:basedOn w:val="665"/>
    <w:next w:val="665"/>
    <w:link w:val="6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 w:default="1">
    <w:name w:val="Default Paragraph Font"/>
    <w:uiPriority w:val="1"/>
    <w:semiHidden/>
    <w:unhideWhenUsed/>
  </w:style>
  <w:style w:type="table" w:styleId="6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7" w:default="1">
    <w:name w:val="No List"/>
    <w:uiPriority w:val="99"/>
    <w:semiHidden/>
    <w:unhideWhenUsed/>
  </w:style>
  <w:style w:type="character" w:styleId="678" w:customStyle="1">
    <w:name w:val="Заголовок 1 Знак"/>
    <w:basedOn w:val="675"/>
    <w:link w:val="666"/>
    <w:uiPriority w:val="9"/>
    <w:rPr>
      <w:rFonts w:ascii="Arial" w:hAnsi="Arial" w:eastAsia="Arial" w:cs="Arial"/>
      <w:sz w:val="40"/>
      <w:szCs w:val="40"/>
    </w:rPr>
  </w:style>
  <w:style w:type="character" w:styleId="679" w:customStyle="1">
    <w:name w:val="Заголовок 2 Знак"/>
    <w:basedOn w:val="675"/>
    <w:link w:val="667"/>
    <w:uiPriority w:val="9"/>
    <w:rPr>
      <w:rFonts w:ascii="Arial" w:hAnsi="Arial" w:eastAsia="Arial" w:cs="Arial"/>
      <w:sz w:val="34"/>
    </w:rPr>
  </w:style>
  <w:style w:type="character" w:styleId="680" w:customStyle="1">
    <w:name w:val="Заголовок 3 Знак"/>
    <w:basedOn w:val="675"/>
    <w:link w:val="668"/>
    <w:uiPriority w:val="9"/>
    <w:rPr>
      <w:rFonts w:ascii="Arial" w:hAnsi="Arial" w:eastAsia="Arial" w:cs="Arial"/>
      <w:sz w:val="30"/>
      <w:szCs w:val="30"/>
    </w:rPr>
  </w:style>
  <w:style w:type="character" w:styleId="681" w:customStyle="1">
    <w:name w:val="Заголовок 4 Знак"/>
    <w:basedOn w:val="675"/>
    <w:link w:val="669"/>
    <w:uiPriority w:val="9"/>
    <w:rPr>
      <w:rFonts w:ascii="Arial" w:hAnsi="Arial" w:eastAsia="Arial" w:cs="Arial"/>
      <w:b/>
      <w:bCs/>
      <w:sz w:val="26"/>
      <w:szCs w:val="26"/>
    </w:rPr>
  </w:style>
  <w:style w:type="character" w:styleId="682" w:customStyle="1">
    <w:name w:val="Заголовок 5 Знак"/>
    <w:basedOn w:val="675"/>
    <w:link w:val="670"/>
    <w:uiPriority w:val="9"/>
    <w:rPr>
      <w:rFonts w:ascii="Arial" w:hAnsi="Arial" w:eastAsia="Arial" w:cs="Arial"/>
      <w:b/>
      <w:bCs/>
      <w:sz w:val="24"/>
      <w:szCs w:val="24"/>
    </w:rPr>
  </w:style>
  <w:style w:type="character" w:styleId="683" w:customStyle="1">
    <w:name w:val="Заголовок 6 Знак"/>
    <w:basedOn w:val="675"/>
    <w:link w:val="671"/>
    <w:uiPriority w:val="9"/>
    <w:rPr>
      <w:rFonts w:ascii="Arial" w:hAnsi="Arial" w:eastAsia="Arial" w:cs="Arial"/>
      <w:b/>
      <w:bCs/>
      <w:sz w:val="22"/>
      <w:szCs w:val="22"/>
    </w:rPr>
  </w:style>
  <w:style w:type="character" w:styleId="684" w:customStyle="1">
    <w:name w:val="Заголовок 7 Знак"/>
    <w:basedOn w:val="675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5" w:customStyle="1">
    <w:name w:val="Заголовок 8 Знак"/>
    <w:basedOn w:val="675"/>
    <w:link w:val="673"/>
    <w:uiPriority w:val="9"/>
    <w:rPr>
      <w:rFonts w:ascii="Arial" w:hAnsi="Arial" w:eastAsia="Arial" w:cs="Arial"/>
      <w:i/>
      <w:iCs/>
      <w:sz w:val="22"/>
      <w:szCs w:val="22"/>
    </w:rPr>
  </w:style>
  <w:style w:type="character" w:styleId="686" w:customStyle="1">
    <w:name w:val="Заголовок 9 Знак"/>
    <w:basedOn w:val="675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87">
    <w:name w:val="No Spacing"/>
    <w:uiPriority w:val="1"/>
    <w:qFormat/>
    <w:pPr>
      <w:spacing w:after="0" w:line="240" w:lineRule="auto"/>
    </w:pPr>
  </w:style>
  <w:style w:type="paragraph" w:styleId="688">
    <w:name w:val="Title"/>
    <w:basedOn w:val="665"/>
    <w:next w:val="665"/>
    <w:link w:val="6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9" w:customStyle="1">
    <w:name w:val="Заголовок Знак"/>
    <w:basedOn w:val="675"/>
    <w:link w:val="688"/>
    <w:uiPriority w:val="10"/>
    <w:rPr>
      <w:sz w:val="48"/>
      <w:szCs w:val="48"/>
    </w:rPr>
  </w:style>
  <w:style w:type="paragraph" w:styleId="690">
    <w:name w:val="Subtitle"/>
    <w:basedOn w:val="665"/>
    <w:next w:val="665"/>
    <w:link w:val="691"/>
    <w:uiPriority w:val="11"/>
    <w:qFormat/>
    <w:pPr>
      <w:spacing w:before="200" w:after="200"/>
    </w:pPr>
    <w:rPr>
      <w:sz w:val="24"/>
      <w:szCs w:val="24"/>
    </w:rPr>
  </w:style>
  <w:style w:type="character" w:styleId="691" w:customStyle="1">
    <w:name w:val="Подзаголовок Знак"/>
    <w:basedOn w:val="675"/>
    <w:link w:val="690"/>
    <w:uiPriority w:val="11"/>
    <w:rPr>
      <w:sz w:val="24"/>
      <w:szCs w:val="24"/>
    </w:rPr>
  </w:style>
  <w:style w:type="paragraph" w:styleId="692">
    <w:name w:val="Quote"/>
    <w:basedOn w:val="665"/>
    <w:next w:val="665"/>
    <w:link w:val="693"/>
    <w:uiPriority w:val="29"/>
    <w:qFormat/>
    <w:pPr>
      <w:ind w:left="720" w:right="720"/>
    </w:pPr>
    <w:rPr>
      <w:i/>
    </w:rPr>
  </w:style>
  <w:style w:type="character" w:styleId="693" w:customStyle="1">
    <w:name w:val="Цитата 2 Знак"/>
    <w:link w:val="692"/>
    <w:uiPriority w:val="29"/>
    <w:rPr>
      <w:i/>
    </w:rPr>
  </w:style>
  <w:style w:type="paragraph" w:styleId="694">
    <w:name w:val="Intense Quote"/>
    <w:basedOn w:val="665"/>
    <w:next w:val="665"/>
    <w:link w:val="69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 w:customStyle="1">
    <w:name w:val="Выделенная цитата Знак"/>
    <w:link w:val="694"/>
    <w:uiPriority w:val="30"/>
    <w:rPr>
      <w:i/>
    </w:rPr>
  </w:style>
  <w:style w:type="paragraph" w:styleId="696">
    <w:name w:val="Header"/>
    <w:basedOn w:val="665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 w:customStyle="1">
    <w:name w:val="Верхний колонтитул Знак"/>
    <w:basedOn w:val="675"/>
    <w:link w:val="696"/>
    <w:uiPriority w:val="99"/>
  </w:style>
  <w:style w:type="paragraph" w:styleId="698">
    <w:name w:val="Footer"/>
    <w:basedOn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 w:customStyle="1">
    <w:name w:val="Footer Char"/>
    <w:basedOn w:val="675"/>
    <w:uiPriority w:val="99"/>
  </w:style>
  <w:style w:type="paragraph" w:styleId="700">
    <w:name w:val="Caption"/>
    <w:basedOn w:val="665"/>
    <w:next w:val="665"/>
    <w:link w:val="701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01" w:customStyle="1">
    <w:name w:val="Название объекта Знак"/>
    <w:link w:val="700"/>
    <w:uiPriority w:val="99"/>
  </w:style>
  <w:style w:type="table" w:styleId="702" w:customStyle="1">
    <w:name w:val="Table Grid Light"/>
    <w:basedOn w:val="67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3">
    <w:name w:val="Plain Table 1"/>
    <w:basedOn w:val="67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2"/>
    <w:basedOn w:val="67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3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>
    <w:name w:val="Plain Table 4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Plain Table 5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8">
    <w:name w:val="Grid Table 1 Light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 w:customStyle="1">
    <w:name w:val="Grid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Grid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 w:customStyle="1">
    <w:name w:val="Grid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 w:customStyle="1">
    <w:name w:val="Grid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2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2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2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2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2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2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3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3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3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3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3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4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0" w:customStyle="1">
    <w:name w:val="Grid Table 4 - Accent 1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31" w:customStyle="1">
    <w:name w:val="Grid Table 4 - Accent 2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2" w:customStyle="1">
    <w:name w:val="Grid Table 4 - Accent 3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33" w:customStyle="1">
    <w:name w:val="Grid Table 4 - Accent 4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34" w:customStyle="1">
    <w:name w:val="Grid Table 4 - Accent 5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35" w:customStyle="1">
    <w:name w:val="Grid Table 4 - Accent 6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36">
    <w:name w:val="Grid Table 5 Dark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5 Dark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38" w:customStyle="1">
    <w:name w:val="Grid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39" w:customStyle="1">
    <w:name w:val="Grid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0" w:customStyle="1">
    <w:name w:val="Grid Table 5 Dark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1" w:customStyle="1">
    <w:name w:val="Grid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42" w:customStyle="1">
    <w:name w:val="Grid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43">
    <w:name w:val="Grid Table 6 Colorful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4" w:customStyle="1">
    <w:name w:val="Grid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45" w:customStyle="1">
    <w:name w:val="Grid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46" w:customStyle="1">
    <w:name w:val="Grid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47" w:customStyle="1">
    <w:name w:val="Grid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48" w:customStyle="1">
    <w:name w:val="Grid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49" w:customStyle="1">
    <w:name w:val="Grid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0">
    <w:name w:val="Grid Table 7 Colorful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1 Light - Accent 1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st Table 1 Light - Accent 2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List Table 1 Light - Accent 3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List Table 1 Light - Accent 4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List Table 1 Light - Accent 5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List Table 1 Light - Accent 6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5" w:customStyle="1">
    <w:name w:val="List Table 2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66" w:customStyle="1">
    <w:name w:val="List Table 2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67" w:customStyle="1">
    <w:name w:val="List Table 2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68" w:customStyle="1">
    <w:name w:val="List Table 2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69" w:customStyle="1">
    <w:name w:val="List Table 2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70" w:customStyle="1">
    <w:name w:val="List Table 2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1">
    <w:name w:val="List Table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3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3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3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3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4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4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4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4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5 Dark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 w:customStyle="1">
    <w:name w:val="List Table 5 Dark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7" w:customStyle="1">
    <w:name w:val="List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8" w:customStyle="1">
    <w:name w:val="List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9" w:customStyle="1">
    <w:name w:val="List Table 5 Dark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0" w:customStyle="1">
    <w:name w:val="List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1" w:customStyle="1">
    <w:name w:val="List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>
    <w:name w:val="List Table 6 Colorful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3" w:customStyle="1">
    <w:name w:val="List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794" w:customStyle="1">
    <w:name w:val="List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95" w:customStyle="1">
    <w:name w:val="List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96" w:customStyle="1">
    <w:name w:val="List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97" w:customStyle="1">
    <w:name w:val="List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798" w:customStyle="1">
    <w:name w:val="List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99">
    <w:name w:val="List Table 7 Colorful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ned - Accent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7" w:customStyle="1">
    <w:name w:val="Lined - Accent 1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08" w:customStyle="1">
    <w:name w:val="Lined - Accent 2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9" w:customStyle="1">
    <w:name w:val="Lined - Accent 3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0" w:customStyle="1">
    <w:name w:val="Lined - Accent 4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1" w:customStyle="1">
    <w:name w:val="Lined - Accent 5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12" w:customStyle="1">
    <w:name w:val="Lined - Accent 6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3" w:customStyle="1">
    <w:name w:val="Bordered &amp; Lined - Accent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Bordered &amp; Lined - Accent 1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15" w:customStyle="1">
    <w:name w:val="Bordered &amp; Lined - Accent 2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6" w:customStyle="1">
    <w:name w:val="Bordered &amp; Lined - Accent 3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7" w:customStyle="1">
    <w:name w:val="Bordered &amp; Lined - Accent 4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8" w:customStyle="1">
    <w:name w:val="Bordered &amp; Lined - Accent 5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19" w:customStyle="1">
    <w:name w:val="Bordered &amp; Lined - Accent 6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0" w:customStyle="1">
    <w:name w:val="Bordered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1" w:customStyle="1">
    <w:name w:val="Bordered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22" w:customStyle="1">
    <w:name w:val="Bordered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23" w:customStyle="1">
    <w:name w:val="Bordered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24" w:customStyle="1">
    <w:name w:val="Bordered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25" w:customStyle="1">
    <w:name w:val="Bordered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26" w:customStyle="1">
    <w:name w:val="Bordered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27">
    <w:name w:val="footnote text"/>
    <w:basedOn w:val="665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 w:customStyle="1">
    <w:name w:val="Текст сноски Знак"/>
    <w:link w:val="827"/>
    <w:uiPriority w:val="99"/>
    <w:rPr>
      <w:sz w:val="18"/>
    </w:rPr>
  </w:style>
  <w:style w:type="character" w:styleId="829">
    <w:name w:val="footnote reference"/>
    <w:basedOn w:val="675"/>
    <w:uiPriority w:val="99"/>
    <w:unhideWhenUsed/>
    <w:rPr>
      <w:vertAlign w:val="superscript"/>
    </w:rPr>
  </w:style>
  <w:style w:type="paragraph" w:styleId="830">
    <w:name w:val="endnote text"/>
    <w:basedOn w:val="665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 w:customStyle="1">
    <w:name w:val="Текст концевой сноски Знак"/>
    <w:link w:val="830"/>
    <w:uiPriority w:val="99"/>
    <w:rPr>
      <w:sz w:val="20"/>
    </w:rPr>
  </w:style>
  <w:style w:type="character" w:styleId="832">
    <w:name w:val="endnote reference"/>
    <w:basedOn w:val="675"/>
    <w:uiPriority w:val="99"/>
    <w:semiHidden/>
    <w:unhideWhenUsed/>
    <w:rPr>
      <w:vertAlign w:val="superscript"/>
    </w:rPr>
  </w:style>
  <w:style w:type="paragraph" w:styleId="833">
    <w:name w:val="toc 1"/>
    <w:basedOn w:val="665"/>
    <w:next w:val="665"/>
    <w:uiPriority w:val="39"/>
    <w:unhideWhenUsed/>
    <w:pPr>
      <w:spacing w:after="57"/>
    </w:pPr>
  </w:style>
  <w:style w:type="paragraph" w:styleId="834">
    <w:name w:val="toc 2"/>
    <w:basedOn w:val="665"/>
    <w:next w:val="665"/>
    <w:uiPriority w:val="39"/>
    <w:unhideWhenUsed/>
    <w:pPr>
      <w:ind w:left="283"/>
      <w:spacing w:after="57"/>
    </w:pPr>
  </w:style>
  <w:style w:type="paragraph" w:styleId="835">
    <w:name w:val="toc 3"/>
    <w:basedOn w:val="665"/>
    <w:next w:val="665"/>
    <w:uiPriority w:val="39"/>
    <w:unhideWhenUsed/>
    <w:pPr>
      <w:ind w:left="567"/>
      <w:spacing w:after="57"/>
    </w:pPr>
  </w:style>
  <w:style w:type="paragraph" w:styleId="836">
    <w:name w:val="toc 4"/>
    <w:basedOn w:val="665"/>
    <w:next w:val="665"/>
    <w:uiPriority w:val="39"/>
    <w:unhideWhenUsed/>
    <w:pPr>
      <w:ind w:left="850"/>
      <w:spacing w:after="57"/>
    </w:pPr>
  </w:style>
  <w:style w:type="paragraph" w:styleId="837">
    <w:name w:val="toc 5"/>
    <w:basedOn w:val="665"/>
    <w:next w:val="665"/>
    <w:uiPriority w:val="39"/>
    <w:unhideWhenUsed/>
    <w:pPr>
      <w:ind w:left="1134"/>
      <w:spacing w:after="57"/>
    </w:pPr>
  </w:style>
  <w:style w:type="paragraph" w:styleId="838">
    <w:name w:val="toc 6"/>
    <w:basedOn w:val="665"/>
    <w:next w:val="665"/>
    <w:uiPriority w:val="39"/>
    <w:unhideWhenUsed/>
    <w:pPr>
      <w:ind w:left="1417"/>
      <w:spacing w:after="57"/>
    </w:pPr>
  </w:style>
  <w:style w:type="paragraph" w:styleId="839">
    <w:name w:val="toc 7"/>
    <w:basedOn w:val="665"/>
    <w:next w:val="665"/>
    <w:uiPriority w:val="39"/>
    <w:unhideWhenUsed/>
    <w:pPr>
      <w:ind w:left="1701"/>
      <w:spacing w:after="57"/>
    </w:pPr>
  </w:style>
  <w:style w:type="paragraph" w:styleId="840">
    <w:name w:val="toc 8"/>
    <w:basedOn w:val="665"/>
    <w:next w:val="665"/>
    <w:uiPriority w:val="39"/>
    <w:unhideWhenUsed/>
    <w:pPr>
      <w:ind w:left="1984"/>
      <w:spacing w:after="57"/>
    </w:pPr>
  </w:style>
  <w:style w:type="paragraph" w:styleId="841">
    <w:name w:val="toc 9"/>
    <w:basedOn w:val="665"/>
    <w:next w:val="665"/>
    <w:uiPriority w:val="39"/>
    <w:unhideWhenUsed/>
    <w:pPr>
      <w:ind w:left="2268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665"/>
    <w:next w:val="665"/>
    <w:uiPriority w:val="99"/>
    <w:unhideWhenUsed/>
    <w:pPr>
      <w:spacing w:after="0"/>
    </w:pPr>
  </w:style>
  <w:style w:type="table" w:styleId="844">
    <w:name w:val="Table Grid"/>
    <w:basedOn w:val="676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45">
    <w:name w:val="Hyperlink"/>
    <w:basedOn w:val="675"/>
    <w:uiPriority w:val="99"/>
    <w:unhideWhenUsed/>
    <w:rPr>
      <w:color w:val="0000ff"/>
      <w:u w:val="single"/>
    </w:rPr>
  </w:style>
  <w:style w:type="paragraph" w:styleId="846">
    <w:name w:val="List Paragraph"/>
    <w:basedOn w:val="665"/>
    <w:link w:val="847"/>
    <w:uiPriority w:val="34"/>
    <w:qFormat/>
    <w:pPr>
      <w:contextualSpacing/>
      <w:ind w:left="720"/>
      <w:spacing w:after="0" w:line="240" w:lineRule="auto"/>
    </w:pPr>
    <w:rPr>
      <w:sz w:val="24"/>
      <w:szCs w:val="24"/>
    </w:rPr>
  </w:style>
  <w:style w:type="character" w:styleId="847" w:customStyle="1">
    <w:name w:val="Абзац списка Знак"/>
    <w:link w:val="846"/>
    <w:uiPriority w:val="34"/>
    <w:qFormat/>
    <w:rPr>
      <w:sz w:val="24"/>
      <w:szCs w:val="24"/>
    </w:rPr>
  </w:style>
  <w:style w:type="paragraph" w:styleId="848">
    <w:name w:val="Balloon Text"/>
    <w:basedOn w:val="665"/>
    <w:link w:val="84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9" w:customStyle="1">
    <w:name w:val="Текст выноски Знак"/>
    <w:basedOn w:val="675"/>
    <w:link w:val="84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secretary@eirc-rb.ru" TargetMode="External"/><Relationship Id="rId10" Type="http://schemas.openxmlformats.org/officeDocument/2006/relationships/hyperlink" Target="https://eirc-rb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ООО ЕИРЦ Республики Башкортостан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 Римма Равильевна</dc:creator>
  <cp:keywords/>
  <dc:description/>
  <cp:lastModifiedBy>tuvalbaev_dr</cp:lastModifiedBy>
  <cp:revision>4</cp:revision>
  <dcterms:created xsi:type="dcterms:W3CDTF">2026-08-05T07:02:00Z</dcterms:created>
  <dcterms:modified xsi:type="dcterms:W3CDTF">2026-08-12T10:01:11Z</dcterms:modified>
</cp:coreProperties>
</file>